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78F0" w14:textId="77777777" w:rsidR="00CF1133" w:rsidRDefault="00801B61" w:rsidP="00834DF7">
      <w:pPr>
        <w:ind w:left="-710" w:firstLine="695"/>
        <w:jc w:val="both"/>
        <w:rPr>
          <w:b/>
          <w:bCs/>
        </w:rPr>
      </w:pPr>
    </w:p>
    <w:p w14:paraId="409A534C" w14:textId="77777777" w:rsidR="00CF1133" w:rsidRDefault="00801B61" w:rsidP="00834DF7">
      <w:pPr>
        <w:ind w:left="-710" w:firstLine="695"/>
        <w:jc w:val="both"/>
        <w:rPr>
          <w:b/>
          <w:bCs/>
        </w:rPr>
      </w:pPr>
      <w:r>
        <w:rPr>
          <w:b/>
          <w:bCs/>
        </w:rPr>
        <w:t>LEP - Sub Committee</w:t>
      </w:r>
    </w:p>
    <w:p w14:paraId="7B7A68B7" w14:textId="77777777" w:rsidR="00725750" w:rsidRDefault="00801B61" w:rsidP="00834DF7">
      <w:pPr>
        <w:ind w:left="-710" w:firstLine="695"/>
        <w:jc w:val="both"/>
        <w:rPr>
          <w:b/>
          <w:bCs/>
        </w:rPr>
      </w:pPr>
    </w:p>
    <w:p w14:paraId="22103A14" w14:textId="77777777" w:rsidR="00BF42FF" w:rsidRDefault="00801B61" w:rsidP="00BF42FF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>LEP - Lancashire Innovation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14:paraId="6390E602" w14:textId="77777777" w:rsidR="00CF1133" w:rsidRPr="00BC4466" w:rsidRDefault="00801B61" w:rsidP="00834DF7">
      <w:pPr>
        <w:spacing w:after="0" w:line="256" w:lineRule="auto"/>
        <w:ind w:left="0" w:firstLine="0"/>
        <w:jc w:val="both"/>
        <w:rPr>
          <w:b/>
          <w:bCs/>
        </w:rPr>
      </w:pPr>
    </w:p>
    <w:p w14:paraId="48D4C546" w14:textId="77777777" w:rsidR="00BC4466" w:rsidRPr="00BC4466" w:rsidRDefault="00801B61" w:rsidP="00834DF7">
      <w:pPr>
        <w:spacing w:after="0" w:line="256" w:lineRule="auto"/>
        <w:ind w:left="0" w:firstLine="0"/>
        <w:jc w:val="both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14:paraId="25A0F383" w14:textId="77777777" w:rsidR="00BC4466" w:rsidRDefault="00801B61" w:rsidP="00834DF7">
      <w:pPr>
        <w:spacing w:after="0" w:line="256" w:lineRule="auto"/>
        <w:ind w:left="0" w:firstLine="0"/>
        <w:jc w:val="both"/>
      </w:pPr>
    </w:p>
    <w:p w14:paraId="2AAA9D57" w14:textId="77777777" w:rsidR="00A3358A" w:rsidRDefault="00801B61" w:rsidP="00834DF7">
      <w:pPr>
        <w:jc w:val="both"/>
      </w:pPr>
      <w:r w:rsidRPr="00B959D4">
        <w:rPr>
          <w:b/>
        </w:rPr>
        <w:t>Date:</w:t>
      </w:r>
      <w:r>
        <w:t xml:space="preserve"> </w:t>
      </w:r>
      <w:r>
        <w:fldChar w:fldCharType="begin"/>
      </w:r>
      <w:r>
        <w:instrText xml:space="preserve"> DOCPROPERTY  MeetingDate  \* MERGEFORMAT </w:instrText>
      </w:r>
      <w:r>
        <w:fldChar w:fldCharType="separate"/>
      </w:r>
      <w:r>
        <w:t>Monday, 7 June 2021</w:t>
      </w:r>
      <w:r>
        <w:fldChar w:fldCharType="end"/>
      </w:r>
    </w:p>
    <w:p w14:paraId="6E62E7A6" w14:textId="77777777" w:rsidR="00312FC6" w:rsidRDefault="00801B61" w:rsidP="00834DF7">
      <w:pPr>
        <w:jc w:val="both"/>
      </w:pPr>
    </w:p>
    <w:p w14:paraId="635DAB5C" w14:textId="77777777" w:rsidR="00BF42FF" w:rsidRPr="00BF42FF" w:rsidRDefault="00801B61" w:rsidP="00BF42FF">
      <w:pPr>
        <w:jc w:val="both"/>
        <w:rPr>
          <w:b/>
          <w:color w:val="auto"/>
        </w:rPr>
      </w:pPr>
      <w:r w:rsidRPr="00BF42FF">
        <w:rPr>
          <w:b/>
          <w:color w:val="auto"/>
        </w:rPr>
        <w:fldChar w:fldCharType="begin"/>
      </w:r>
      <w:r w:rsidRPr="00BF42FF">
        <w:rPr>
          <w:b/>
          <w:color w:val="auto"/>
        </w:rPr>
        <w:instrText xml:space="preserve"> DOCPROPERTY  IssueTitle  \* MERGEFORMAT </w:instrText>
      </w:r>
      <w:r w:rsidRPr="00BF42FF">
        <w:rPr>
          <w:b/>
          <w:color w:val="auto"/>
        </w:rPr>
        <w:fldChar w:fldCharType="separate"/>
      </w:r>
      <w:r w:rsidRPr="00BF42FF">
        <w:rPr>
          <w:b/>
          <w:color w:val="auto"/>
        </w:rPr>
        <w:t>Membership and Terms of Reference</w:t>
      </w:r>
      <w:r w:rsidRPr="00BF42FF">
        <w:rPr>
          <w:b/>
          <w:color w:val="auto"/>
        </w:rPr>
        <w:fldChar w:fldCharType="end"/>
      </w:r>
    </w:p>
    <w:p w14:paraId="1B83E388" w14:textId="77777777" w:rsidR="00512980" w:rsidRDefault="00801B61" w:rsidP="00834DF7">
      <w:pPr>
        <w:spacing w:after="0" w:line="256" w:lineRule="auto"/>
        <w:ind w:left="0" w:firstLine="0"/>
        <w:jc w:val="both"/>
      </w:pPr>
      <w:r>
        <w:t>(Appendix 'A' refers)</w:t>
      </w:r>
    </w:p>
    <w:p w14:paraId="2DBC9C98" w14:textId="77777777" w:rsidR="00D7480F" w:rsidRDefault="00801B61" w:rsidP="00834DF7">
      <w:pPr>
        <w:spacing w:after="0" w:line="256" w:lineRule="auto"/>
        <w:ind w:left="0" w:firstLine="0"/>
        <w:jc w:val="both"/>
      </w:pPr>
    </w:p>
    <w:p w14:paraId="37D031EF" w14:textId="77777777" w:rsidR="00BF42FF" w:rsidRPr="002B3CC5" w:rsidRDefault="00801B61" w:rsidP="00BF42FF">
      <w:pPr>
        <w:ind w:right="-873"/>
        <w:rPr>
          <w:b/>
        </w:rPr>
      </w:pPr>
      <w:r w:rsidRPr="00F41096">
        <w:rPr>
          <w:b/>
        </w:rPr>
        <w:t>Report Author: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DOCPROPERTY  LeadOfficer  \* MERGEFORMAT </w:instrText>
      </w:r>
      <w:r>
        <w:rPr>
          <w:b/>
        </w:rPr>
        <w:fldChar w:fldCharType="separate"/>
      </w:r>
      <w:r>
        <w:rPr>
          <w:b/>
        </w:rPr>
        <w:t>Mike Neville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  LeadOfficerTel  \* MERGEFORMAT </w:instrText>
      </w:r>
      <w:r>
        <w:rPr>
          <w:b/>
        </w:rPr>
        <w:fldChar w:fldCharType="separate"/>
      </w:r>
      <w:r>
        <w:rPr>
          <w:b/>
        </w:rPr>
        <w:t>Tel: (01772) 533431</w:t>
      </w:r>
      <w:r>
        <w:rPr>
          <w:b/>
        </w:rPr>
        <w:fldChar w:fldCharType="end"/>
      </w:r>
      <w:r w:rsidRPr="00F41096">
        <w:rPr>
          <w:b/>
        </w:rPr>
        <w:t xml:space="preserve">, </w:t>
      </w:r>
      <w:r>
        <w:rPr>
          <w:b/>
        </w:rPr>
        <w:fldChar w:fldCharType="begin"/>
      </w:r>
      <w:r>
        <w:rPr>
          <w:b/>
        </w:rPr>
        <w:instrText xml:space="preserve"> DOCPROPERTY</w:instrText>
      </w:r>
      <w:r>
        <w:rPr>
          <w:b/>
        </w:rPr>
        <w:instrText xml:space="preserve">  LeadOfficerEmail  \* MERGEFORMAT </w:instrText>
      </w:r>
      <w:r>
        <w:rPr>
          <w:b/>
        </w:rPr>
        <w:fldChar w:fldCharType="separate"/>
      </w:r>
      <w:r>
        <w:rPr>
          <w:b/>
        </w:rPr>
        <w:t>mike.neville@lancashire.gov.uk</w:t>
      </w:r>
      <w:r>
        <w:rPr>
          <w:b/>
        </w:rPr>
        <w:fldChar w:fldCharType="end"/>
      </w:r>
    </w:p>
    <w:p w14:paraId="491878F0" w14:textId="77777777" w:rsidR="002B3CC5" w:rsidRDefault="00801B61" w:rsidP="00834DF7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14682" w14:paraId="40C38DD6" w14:textId="77777777" w:rsidTr="008B5354">
        <w:tc>
          <w:tcPr>
            <w:tcW w:w="9180" w:type="dxa"/>
          </w:tcPr>
          <w:p w14:paraId="4AE4643B" w14:textId="77777777" w:rsidR="002B3CC5" w:rsidRDefault="00801B61" w:rsidP="00834DF7">
            <w:pPr>
              <w:pStyle w:val="Header"/>
              <w:jc w:val="both"/>
            </w:pPr>
          </w:p>
          <w:p w14:paraId="36E60B7E" w14:textId="77777777" w:rsidR="002B3CC5" w:rsidRPr="002B3CC5" w:rsidRDefault="00801B61" w:rsidP="00834DF7">
            <w:pPr>
              <w:pStyle w:val="Heading6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14:paraId="3253B55E" w14:textId="77777777" w:rsidR="002B3CC5" w:rsidRDefault="00801B61" w:rsidP="00834DF7">
            <w:pPr>
              <w:jc w:val="both"/>
              <w:rPr>
                <w:color w:val="auto"/>
              </w:rPr>
            </w:pPr>
          </w:p>
          <w:p w14:paraId="5061B3C2" w14:textId="77777777" w:rsidR="00512980" w:rsidRPr="002B3CC5" w:rsidRDefault="00801B61" w:rsidP="00512980">
            <w:pPr>
              <w:ind w:left="0" w:firstLine="0"/>
              <w:rPr>
                <w:color w:val="auto"/>
              </w:rPr>
            </w:pPr>
            <w:r w:rsidRPr="00C7462F">
              <w:rPr>
                <w:color w:val="auto"/>
              </w:rPr>
              <w:t xml:space="preserve">This report sets out the </w:t>
            </w:r>
            <w:r>
              <w:rPr>
                <w:color w:val="auto"/>
              </w:rPr>
              <w:t xml:space="preserve">current </w:t>
            </w:r>
            <w:r w:rsidRPr="00C7462F">
              <w:rPr>
                <w:color w:val="auto"/>
              </w:rPr>
              <w:t xml:space="preserve">membership and Terms of Reference of the </w:t>
            </w:r>
            <w:r>
              <w:rPr>
                <w:color w:val="auto"/>
              </w:rPr>
              <w:t>I</w:t>
            </w:r>
            <w:r w:rsidRPr="00C7462F">
              <w:rPr>
                <w:color w:val="auto"/>
              </w:rPr>
              <w:t>nnovation Board</w:t>
            </w:r>
            <w:r>
              <w:rPr>
                <w:color w:val="auto"/>
              </w:rPr>
              <w:t xml:space="preserve">. </w:t>
            </w:r>
            <w:r w:rsidRPr="002B3CC5">
              <w:rPr>
                <w:color w:val="auto"/>
              </w:rPr>
              <w:t xml:space="preserve"> </w:t>
            </w:r>
          </w:p>
          <w:p w14:paraId="4F3A06CC" w14:textId="77777777" w:rsidR="00312FC6" w:rsidRPr="002B3CC5" w:rsidRDefault="00801B61" w:rsidP="00834DF7">
            <w:pPr>
              <w:jc w:val="both"/>
              <w:rPr>
                <w:color w:val="auto"/>
              </w:rPr>
            </w:pPr>
          </w:p>
          <w:p w14:paraId="00239A7A" w14:textId="77777777" w:rsidR="002B3CC5" w:rsidRDefault="00801B61" w:rsidP="00834DF7">
            <w:pPr>
              <w:pStyle w:val="Heading5"/>
              <w:jc w:val="both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</w:p>
          <w:p w14:paraId="70E9F00B" w14:textId="77777777" w:rsidR="008B0264" w:rsidRDefault="00801B61" w:rsidP="00834DF7">
            <w:pPr>
              <w:jc w:val="both"/>
            </w:pPr>
          </w:p>
          <w:p w14:paraId="59AAB8E7" w14:textId="77777777" w:rsidR="00BF42FF" w:rsidRPr="008B0264" w:rsidRDefault="00801B61" w:rsidP="00512980">
            <w:pPr>
              <w:pStyle w:val="NoSpacing"/>
            </w:pPr>
            <w:r>
              <w:t xml:space="preserve">That the membership and Terms of Reference of the </w:t>
            </w:r>
            <w:r>
              <w:t>Lancashire Innovation Board as set out in the report are noted.</w:t>
            </w:r>
          </w:p>
          <w:p w14:paraId="05845528" w14:textId="77777777" w:rsidR="002B3CC5" w:rsidRDefault="00801B61" w:rsidP="00312FC6">
            <w:pPr>
              <w:ind w:left="360" w:firstLine="0"/>
              <w:jc w:val="both"/>
            </w:pPr>
          </w:p>
        </w:tc>
      </w:tr>
    </w:tbl>
    <w:p w14:paraId="29252E53" w14:textId="77777777" w:rsidR="002B3CC5" w:rsidRDefault="00801B61" w:rsidP="00834DF7">
      <w:pPr>
        <w:pStyle w:val="Header"/>
        <w:jc w:val="both"/>
      </w:pPr>
    </w:p>
    <w:p w14:paraId="126EE8FE" w14:textId="77777777" w:rsidR="00A3358A" w:rsidRDefault="00801B61" w:rsidP="00834DF7">
      <w:pPr>
        <w:jc w:val="both"/>
        <w:rPr>
          <w:b/>
        </w:rPr>
      </w:pPr>
      <w:r>
        <w:rPr>
          <w:b/>
        </w:rPr>
        <w:t xml:space="preserve">Background and Advice </w:t>
      </w:r>
    </w:p>
    <w:p w14:paraId="43ED0CA6" w14:textId="77777777" w:rsidR="00A3358A" w:rsidRDefault="00801B61" w:rsidP="00834DF7">
      <w:pPr>
        <w:jc w:val="both"/>
        <w:rPr>
          <w:b/>
        </w:rPr>
      </w:pPr>
    </w:p>
    <w:p w14:paraId="780B14DE" w14:textId="77777777" w:rsidR="00512980" w:rsidRDefault="00801B61" w:rsidP="00512980">
      <w:pPr>
        <w:spacing w:line="247" w:lineRule="auto"/>
        <w:ind w:left="0" w:firstLine="0"/>
      </w:pPr>
      <w:r>
        <w:t xml:space="preserve">On the </w:t>
      </w:r>
      <w:r w:rsidRPr="005E7455">
        <w:t>23</w:t>
      </w:r>
      <w:r w:rsidRPr="005E7455">
        <w:rPr>
          <w:vertAlign w:val="superscript"/>
        </w:rPr>
        <w:t>rd</w:t>
      </w:r>
      <w:r w:rsidRPr="005E7455">
        <w:t xml:space="preserve"> June 2020 the L</w:t>
      </w:r>
      <w:r>
        <w:t xml:space="preserve">ancashire Enterprise Partnership </w:t>
      </w:r>
      <w:r w:rsidRPr="005E7455">
        <w:t xml:space="preserve">Board </w:t>
      </w:r>
      <w:r>
        <w:t xml:space="preserve">agreed to establish an </w:t>
      </w:r>
      <w:r w:rsidRPr="005E7455">
        <w:t xml:space="preserve">Innovation Board </w:t>
      </w:r>
      <w:r>
        <w:t xml:space="preserve">to </w:t>
      </w:r>
      <w:r w:rsidRPr="005E7455">
        <w:t xml:space="preserve">hold to account the delivery of </w:t>
      </w:r>
      <w:r>
        <w:t>i</w:t>
      </w:r>
      <w:r w:rsidRPr="005E7455">
        <w:t xml:space="preserve">nnovation activities </w:t>
      </w:r>
      <w:r>
        <w:t xml:space="preserve">within the LEP </w:t>
      </w:r>
      <w:r w:rsidRPr="005E7455">
        <w:t xml:space="preserve">Innovation Plan and set future strategic innovation priorities. </w:t>
      </w:r>
    </w:p>
    <w:p w14:paraId="5C2C7D4F" w14:textId="77777777" w:rsidR="00512980" w:rsidRDefault="00801B61" w:rsidP="00512980">
      <w:pPr>
        <w:spacing w:line="247" w:lineRule="auto"/>
        <w:ind w:left="0" w:firstLine="0"/>
      </w:pPr>
    </w:p>
    <w:p w14:paraId="31D038DC" w14:textId="77777777" w:rsidR="00512980" w:rsidRPr="00765142" w:rsidRDefault="00801B61" w:rsidP="00512980">
      <w:pPr>
        <w:spacing w:line="247" w:lineRule="auto"/>
        <w:ind w:left="0" w:firstLine="0"/>
        <w:rPr>
          <w:bCs/>
        </w:rPr>
      </w:pPr>
      <w:r>
        <w:t xml:space="preserve">At that meeting the </w:t>
      </w:r>
      <w:r w:rsidRPr="005E7455">
        <w:t xml:space="preserve">initial membership </w:t>
      </w:r>
      <w:r>
        <w:t xml:space="preserve">for the Board was agreed together with the </w:t>
      </w:r>
      <w:r w:rsidRPr="005E7455">
        <w:t>Terms of Reference</w:t>
      </w:r>
      <w:r>
        <w:t xml:space="preserve">, a copy of which is attached at </w:t>
      </w:r>
      <w:r w:rsidRPr="005E7455">
        <w:rPr>
          <w:b/>
        </w:rPr>
        <w:t>Appendix 'A'</w:t>
      </w:r>
      <w:r>
        <w:rPr>
          <w:b/>
        </w:rPr>
        <w:t xml:space="preserve">. </w:t>
      </w:r>
      <w:r w:rsidRPr="00512980">
        <w:rPr>
          <w:bCs/>
        </w:rPr>
        <w:t>The</w:t>
      </w:r>
      <w:r>
        <w:rPr>
          <w:b/>
        </w:rPr>
        <w:t xml:space="preserve"> </w:t>
      </w:r>
      <w:r w:rsidRPr="00765142">
        <w:rPr>
          <w:bCs/>
        </w:rPr>
        <w:t>Chair and Deputy Chair were subsequently appointed at the first</w:t>
      </w:r>
      <w:r>
        <w:rPr>
          <w:bCs/>
        </w:rPr>
        <w:t xml:space="preserve"> meeting of the I</w:t>
      </w:r>
      <w:r w:rsidRPr="00765142">
        <w:rPr>
          <w:bCs/>
        </w:rPr>
        <w:t>nnovation Board on the 24</w:t>
      </w:r>
      <w:r w:rsidRPr="00765142">
        <w:rPr>
          <w:bCs/>
          <w:vertAlign w:val="superscript"/>
        </w:rPr>
        <w:t>th</w:t>
      </w:r>
      <w:r w:rsidRPr="00765142">
        <w:rPr>
          <w:bCs/>
        </w:rPr>
        <w:t xml:space="preserve"> July 2020.  </w:t>
      </w:r>
    </w:p>
    <w:p w14:paraId="1C221EC0" w14:textId="77777777" w:rsidR="00512980" w:rsidRDefault="00801B61" w:rsidP="00512980">
      <w:pPr>
        <w:spacing w:line="247" w:lineRule="auto"/>
        <w:ind w:left="0" w:firstLine="0"/>
        <w:rPr>
          <w:b/>
        </w:rPr>
      </w:pPr>
    </w:p>
    <w:p w14:paraId="64026285" w14:textId="77777777" w:rsidR="00512980" w:rsidRDefault="00801B61" w:rsidP="00512980">
      <w:pPr>
        <w:spacing w:line="250" w:lineRule="auto"/>
        <w:ind w:left="0" w:firstLine="0"/>
        <w:rPr>
          <w:b/>
        </w:rPr>
      </w:pPr>
      <w:r>
        <w:rPr>
          <w:b/>
        </w:rPr>
        <w:t>Appointment of Additio</w:t>
      </w:r>
      <w:r>
        <w:rPr>
          <w:b/>
        </w:rPr>
        <w:t xml:space="preserve">nal Board members </w:t>
      </w:r>
    </w:p>
    <w:p w14:paraId="4A8A800D" w14:textId="77777777" w:rsidR="00512980" w:rsidRDefault="00801B61" w:rsidP="00512980">
      <w:pPr>
        <w:spacing w:line="250" w:lineRule="auto"/>
        <w:ind w:left="0" w:firstLine="0"/>
        <w:jc w:val="both"/>
      </w:pPr>
    </w:p>
    <w:p w14:paraId="3E5F569A" w14:textId="77777777" w:rsidR="00512980" w:rsidRDefault="00801B61" w:rsidP="00512980">
      <w:pPr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>O</w:t>
      </w:r>
      <w:r w:rsidRPr="00232666">
        <w:rPr>
          <w:color w:val="auto"/>
          <w:lang w:eastAsia="en-US"/>
        </w:rPr>
        <w:t>n the 19</w:t>
      </w:r>
      <w:r w:rsidRPr="00232666">
        <w:rPr>
          <w:color w:val="auto"/>
          <w:vertAlign w:val="superscript"/>
          <w:lang w:eastAsia="en-US"/>
        </w:rPr>
        <w:t>th</w:t>
      </w:r>
      <w:r w:rsidRPr="00232666">
        <w:rPr>
          <w:color w:val="auto"/>
          <w:lang w:eastAsia="en-US"/>
        </w:rPr>
        <w:t xml:space="preserve"> February 2021 the Innovation Board considered a </w:t>
      </w:r>
      <w:r>
        <w:rPr>
          <w:color w:val="auto"/>
          <w:lang w:eastAsia="en-US"/>
        </w:rPr>
        <w:t xml:space="preserve">proposal to </w:t>
      </w:r>
      <w:r w:rsidRPr="00232666">
        <w:rPr>
          <w:color w:val="auto"/>
          <w:lang w:eastAsia="en-US"/>
        </w:rPr>
        <w:t xml:space="preserve">appoint an additional 3 Board members which (if approved) would bring the membership up to the maximum 15 permitted under the Terms of Reference and give the Board </w:t>
      </w:r>
      <w:r w:rsidRPr="00232666">
        <w:rPr>
          <w:color w:val="auto"/>
          <w:lang w:eastAsia="en-US"/>
        </w:rPr>
        <w:t xml:space="preserve">an 8 to 7 female/male gender split, an 8 to 7 private/public sector split with a broad geographic spread across Lancashire. After considering the report the Board </w:t>
      </w:r>
      <w:r>
        <w:rPr>
          <w:color w:val="auto"/>
          <w:lang w:eastAsia="en-US"/>
        </w:rPr>
        <w:t xml:space="preserve">agreed to recommend the </w:t>
      </w:r>
      <w:r w:rsidRPr="00232666">
        <w:rPr>
          <w:color w:val="auto"/>
          <w:lang w:eastAsia="en-US"/>
        </w:rPr>
        <w:t>Lancashire Enterprise Partnership Board</w:t>
      </w:r>
      <w:r>
        <w:rPr>
          <w:color w:val="auto"/>
          <w:lang w:eastAsia="en-US"/>
        </w:rPr>
        <w:t xml:space="preserve"> to approve the appointment of</w:t>
      </w:r>
      <w:r>
        <w:rPr>
          <w:color w:val="auto"/>
          <w:lang w:eastAsia="en-US"/>
        </w:rPr>
        <w:t xml:space="preserve"> the following individuals. </w:t>
      </w:r>
      <w:r w:rsidRPr="00232666">
        <w:rPr>
          <w:color w:val="auto"/>
          <w:lang w:eastAsia="en-US"/>
        </w:rPr>
        <w:t xml:space="preserve">  </w:t>
      </w:r>
    </w:p>
    <w:p w14:paraId="6A8A30A7" w14:textId="77777777" w:rsidR="00725750" w:rsidRPr="00232666" w:rsidRDefault="00801B61" w:rsidP="00512980">
      <w:pPr>
        <w:spacing w:after="0" w:line="240" w:lineRule="auto"/>
        <w:ind w:left="0" w:firstLine="0"/>
        <w:rPr>
          <w:color w:val="auto"/>
          <w:lang w:eastAsia="en-US"/>
        </w:rPr>
      </w:pPr>
    </w:p>
    <w:p w14:paraId="52796749" w14:textId="77777777" w:rsidR="00512980" w:rsidRPr="00CF3531" w:rsidRDefault="00801B61" w:rsidP="00512980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lang w:eastAsia="en-US"/>
        </w:rPr>
      </w:pPr>
      <w:r w:rsidRPr="00CF3531">
        <w:rPr>
          <w:color w:val="auto"/>
          <w:lang w:eastAsia="en-US"/>
        </w:rPr>
        <w:t>Mike Gibson, Managing Director, Miralis Data limited</w:t>
      </w:r>
    </w:p>
    <w:p w14:paraId="167C3596" w14:textId="77777777" w:rsidR="00512980" w:rsidRPr="00CF3531" w:rsidRDefault="00801B61" w:rsidP="00512980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lang w:eastAsia="en-US"/>
        </w:rPr>
      </w:pPr>
      <w:r w:rsidRPr="00CF3531">
        <w:rPr>
          <w:color w:val="auto"/>
          <w:lang w:eastAsia="en-US"/>
        </w:rPr>
        <w:lastRenderedPageBreak/>
        <w:t>Judson Smythe, Technical Director, MGS Plastics Limited</w:t>
      </w:r>
    </w:p>
    <w:p w14:paraId="36207BB5" w14:textId="77777777" w:rsidR="00512980" w:rsidRPr="00CF3531" w:rsidRDefault="00801B61" w:rsidP="00512980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lang w:eastAsia="en-US"/>
        </w:rPr>
      </w:pPr>
      <w:r w:rsidRPr="00CF3531">
        <w:rPr>
          <w:color w:val="auto"/>
          <w:lang w:eastAsia="en-US"/>
        </w:rPr>
        <w:t>Melissa Conlon, Commercial Director, AMRC (NW)</w:t>
      </w:r>
    </w:p>
    <w:p w14:paraId="17369BC8" w14:textId="77777777" w:rsidR="00512980" w:rsidRDefault="00801B61" w:rsidP="00512980">
      <w:pPr>
        <w:spacing w:after="0" w:line="240" w:lineRule="auto"/>
        <w:ind w:left="0" w:firstLine="0"/>
        <w:rPr>
          <w:color w:val="auto"/>
        </w:rPr>
      </w:pPr>
    </w:p>
    <w:p w14:paraId="25031702" w14:textId="77777777" w:rsidR="00512980" w:rsidRDefault="00801B61" w:rsidP="00512980">
      <w:pPr>
        <w:spacing w:after="0" w:line="240" w:lineRule="auto"/>
        <w:ind w:left="0" w:firstLine="0"/>
        <w:rPr>
          <w:color w:val="auto"/>
        </w:rPr>
      </w:pPr>
      <w:r w:rsidRPr="00232666">
        <w:rPr>
          <w:color w:val="auto"/>
        </w:rPr>
        <w:t>The recommendation was reported to the LEP Board on the 23</w:t>
      </w:r>
      <w:r w:rsidRPr="00232666">
        <w:rPr>
          <w:color w:val="auto"/>
          <w:vertAlign w:val="superscript"/>
        </w:rPr>
        <w:t>rd</w:t>
      </w:r>
      <w:r w:rsidRPr="00232666">
        <w:rPr>
          <w:color w:val="auto"/>
        </w:rPr>
        <w:t xml:space="preserve"> March </w:t>
      </w:r>
      <w:r w:rsidRPr="00232666">
        <w:rPr>
          <w:color w:val="auto"/>
        </w:rPr>
        <w:t xml:space="preserve">2021 </w:t>
      </w:r>
    </w:p>
    <w:p w14:paraId="029668EB" w14:textId="77777777" w:rsidR="00512980" w:rsidRDefault="00801B61" w:rsidP="00512980">
      <w:pPr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</w:rPr>
        <w:t xml:space="preserve">(see </w:t>
      </w:r>
      <w:hyperlink r:id="rId8" w:history="1">
        <w:r w:rsidRPr="0037503D">
          <w:rPr>
            <w:rStyle w:val="Hyperlink"/>
          </w:rPr>
          <w:t>item 9 – Governance and Committees</w:t>
        </w:r>
      </w:hyperlink>
      <w:r>
        <w:rPr>
          <w:color w:val="auto"/>
        </w:rPr>
        <w:t xml:space="preserve">) </w:t>
      </w:r>
      <w:r w:rsidRPr="00232666">
        <w:rPr>
          <w:color w:val="auto"/>
        </w:rPr>
        <w:t>which subsequently approved</w:t>
      </w:r>
      <w:r w:rsidRPr="00232666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all </w:t>
      </w:r>
      <w:r w:rsidRPr="00232666">
        <w:rPr>
          <w:color w:val="auto"/>
          <w:lang w:eastAsia="en-US"/>
        </w:rPr>
        <w:t>the appointment</w:t>
      </w:r>
      <w:r>
        <w:rPr>
          <w:color w:val="auto"/>
          <w:lang w:eastAsia="en-US"/>
        </w:rPr>
        <w:t>s, making the current membership of the Board as set out below</w:t>
      </w:r>
      <w:r>
        <w:rPr>
          <w:color w:val="auto"/>
          <w:lang w:eastAsia="en-US"/>
        </w:rPr>
        <w:t>.</w:t>
      </w:r>
    </w:p>
    <w:p w14:paraId="5F43B3E5" w14:textId="77777777" w:rsidR="00725750" w:rsidRDefault="00801B61" w:rsidP="00512980">
      <w:pPr>
        <w:spacing w:after="0" w:line="240" w:lineRule="auto"/>
        <w:ind w:left="0" w:firstLine="0"/>
      </w:pPr>
    </w:p>
    <w:p w14:paraId="43593EB2" w14:textId="77777777" w:rsidR="00512980" w:rsidRDefault="00801B61" w:rsidP="00512980">
      <w:pPr>
        <w:pStyle w:val="Header"/>
        <w:jc w:val="both"/>
      </w:pPr>
    </w:p>
    <w:tbl>
      <w:tblPr>
        <w:tblStyle w:val="TableGrid"/>
        <w:tblpPr w:leftFromText="180" w:rightFromText="180" w:vertAnchor="page" w:horzAnchor="margin" w:tblpY="3493"/>
        <w:tblW w:w="9067" w:type="dxa"/>
        <w:tblLook w:val="04A0" w:firstRow="1" w:lastRow="0" w:firstColumn="1" w:lastColumn="0" w:noHBand="0" w:noVBand="1"/>
      </w:tblPr>
      <w:tblGrid>
        <w:gridCol w:w="2440"/>
        <w:gridCol w:w="3367"/>
        <w:gridCol w:w="3260"/>
      </w:tblGrid>
      <w:tr w:rsidR="00614682" w14:paraId="58F9BAD6" w14:textId="77777777" w:rsidTr="00725750">
        <w:tc>
          <w:tcPr>
            <w:tcW w:w="2440" w:type="dxa"/>
          </w:tcPr>
          <w:p w14:paraId="51C70FB9" w14:textId="77777777" w:rsidR="00B57A5A" w:rsidRPr="00E62132" w:rsidRDefault="00801B61" w:rsidP="00725750">
            <w:r w:rsidRPr="00E62132">
              <w:t>Graham Baldwin</w:t>
            </w:r>
          </w:p>
        </w:tc>
        <w:tc>
          <w:tcPr>
            <w:tcW w:w="3367" w:type="dxa"/>
          </w:tcPr>
          <w:p w14:paraId="5CB31CF9" w14:textId="77777777" w:rsidR="00B57A5A" w:rsidRPr="00E62132" w:rsidRDefault="00801B61" w:rsidP="00725750">
            <w:r w:rsidRPr="00E62132">
              <w:t>Chair</w:t>
            </w:r>
          </w:p>
        </w:tc>
        <w:tc>
          <w:tcPr>
            <w:tcW w:w="3260" w:type="dxa"/>
          </w:tcPr>
          <w:p w14:paraId="5E6B6475" w14:textId="77777777" w:rsidR="00B57A5A" w:rsidRPr="00E62132" w:rsidRDefault="00801B61" w:rsidP="00725750">
            <w:r w:rsidRPr="00E62132">
              <w:t>UCLan</w:t>
            </w:r>
          </w:p>
        </w:tc>
      </w:tr>
      <w:tr w:rsidR="00614682" w14:paraId="0144EE8E" w14:textId="77777777" w:rsidTr="00725750">
        <w:tc>
          <w:tcPr>
            <w:tcW w:w="2440" w:type="dxa"/>
          </w:tcPr>
          <w:p w14:paraId="7F8197E1" w14:textId="77777777" w:rsidR="00B57A5A" w:rsidRPr="00E62132" w:rsidRDefault="00801B61" w:rsidP="00725750">
            <w:r w:rsidRPr="00E62132">
              <w:t>Claire Whelan</w:t>
            </w:r>
          </w:p>
        </w:tc>
        <w:tc>
          <w:tcPr>
            <w:tcW w:w="3367" w:type="dxa"/>
          </w:tcPr>
          <w:p w14:paraId="29AC8169" w14:textId="77777777" w:rsidR="00B57A5A" w:rsidRPr="00E62132" w:rsidRDefault="00801B61" w:rsidP="00725750">
            <w:r w:rsidRPr="00E62132">
              <w:t>Deputy Chair</w:t>
            </w:r>
          </w:p>
        </w:tc>
        <w:tc>
          <w:tcPr>
            <w:tcW w:w="3260" w:type="dxa"/>
          </w:tcPr>
          <w:p w14:paraId="59ED578F" w14:textId="77777777" w:rsidR="00B57A5A" w:rsidRPr="00E62132" w:rsidRDefault="00801B61" w:rsidP="00725750">
            <w:r w:rsidRPr="00E62132">
              <w:t>(Corporate &amp; Finance)</w:t>
            </w:r>
          </w:p>
        </w:tc>
      </w:tr>
      <w:tr w:rsidR="00614682" w14:paraId="216C9CE9" w14:textId="77777777" w:rsidTr="00725750">
        <w:tc>
          <w:tcPr>
            <w:tcW w:w="2440" w:type="dxa"/>
          </w:tcPr>
          <w:p w14:paraId="4C807CC0" w14:textId="77777777" w:rsidR="00B57A5A" w:rsidRPr="00801B61" w:rsidRDefault="00801B61" w:rsidP="00725750">
            <w:r w:rsidRPr="00801B61">
              <w:t>Tony Attard OBE</w:t>
            </w:r>
          </w:p>
        </w:tc>
        <w:tc>
          <w:tcPr>
            <w:tcW w:w="3367" w:type="dxa"/>
          </w:tcPr>
          <w:p w14:paraId="783EB04F" w14:textId="77777777" w:rsidR="00B57A5A" w:rsidRPr="00801B61" w:rsidRDefault="00801B61" w:rsidP="00725750">
            <w:r w:rsidRPr="00801B61">
              <w:t>Co-opted LEP Member</w:t>
            </w:r>
          </w:p>
        </w:tc>
        <w:tc>
          <w:tcPr>
            <w:tcW w:w="3260" w:type="dxa"/>
          </w:tcPr>
          <w:p w14:paraId="17FEB4D9" w14:textId="77777777" w:rsidR="00B57A5A" w:rsidRPr="00801B61" w:rsidRDefault="00801B61" w:rsidP="00725750">
            <w:r w:rsidRPr="00801B61">
              <w:t>(Corporate &amp; Manufacturing)</w:t>
            </w:r>
          </w:p>
        </w:tc>
      </w:tr>
      <w:tr w:rsidR="00614682" w14:paraId="6B4A6F25" w14:textId="77777777" w:rsidTr="00725750">
        <w:tc>
          <w:tcPr>
            <w:tcW w:w="2440" w:type="dxa"/>
          </w:tcPr>
          <w:p w14:paraId="5ECC5356" w14:textId="77777777" w:rsidR="00B57A5A" w:rsidRPr="00801B61" w:rsidRDefault="00801B61" w:rsidP="00725750">
            <w:pPr>
              <w:rPr>
                <w:b/>
                <w:bCs/>
              </w:rPr>
            </w:pPr>
            <w:r w:rsidRPr="00801B61">
              <w:rPr>
                <w:b/>
                <w:bCs/>
              </w:rPr>
              <w:t>Melissa Conlon</w:t>
            </w:r>
          </w:p>
        </w:tc>
        <w:tc>
          <w:tcPr>
            <w:tcW w:w="3367" w:type="dxa"/>
          </w:tcPr>
          <w:p w14:paraId="5FA5E906" w14:textId="77777777" w:rsidR="00B57A5A" w:rsidRPr="00801B61" w:rsidRDefault="00801B61" w:rsidP="00725750">
            <w:pPr>
              <w:rPr>
                <w:b/>
                <w:bCs/>
              </w:rPr>
            </w:pPr>
            <w:r w:rsidRPr="00801B61">
              <w:rPr>
                <w:b/>
                <w:bCs/>
              </w:rPr>
              <w:t>Skills &amp; International Rep</w:t>
            </w:r>
          </w:p>
        </w:tc>
        <w:tc>
          <w:tcPr>
            <w:tcW w:w="3260" w:type="dxa"/>
          </w:tcPr>
          <w:p w14:paraId="7AE982C3" w14:textId="77777777" w:rsidR="00B57A5A" w:rsidRPr="00801B61" w:rsidRDefault="00801B61" w:rsidP="00725750">
            <w:pPr>
              <w:rPr>
                <w:b/>
                <w:bCs/>
              </w:rPr>
            </w:pPr>
            <w:r w:rsidRPr="00801B61">
              <w:rPr>
                <w:b/>
                <w:bCs/>
              </w:rPr>
              <w:t>AMRC NW</w:t>
            </w:r>
          </w:p>
        </w:tc>
      </w:tr>
      <w:tr w:rsidR="00614682" w14:paraId="342CA296" w14:textId="77777777" w:rsidTr="00725750">
        <w:tc>
          <w:tcPr>
            <w:tcW w:w="2440" w:type="dxa"/>
          </w:tcPr>
          <w:p w14:paraId="2196C578" w14:textId="77777777" w:rsidR="00B57A5A" w:rsidRPr="00801B61" w:rsidRDefault="00801B61" w:rsidP="00725750">
            <w:r w:rsidRPr="00801B61">
              <w:t>Rick Holland</w:t>
            </w:r>
          </w:p>
        </w:tc>
        <w:tc>
          <w:tcPr>
            <w:tcW w:w="3367" w:type="dxa"/>
          </w:tcPr>
          <w:p w14:paraId="30225D25" w14:textId="77777777" w:rsidR="00B57A5A" w:rsidRPr="00801B61" w:rsidRDefault="00801B61" w:rsidP="00725750">
            <w:r w:rsidRPr="00801B61">
              <w:t>UK RI Rep</w:t>
            </w:r>
          </w:p>
        </w:tc>
        <w:tc>
          <w:tcPr>
            <w:tcW w:w="3260" w:type="dxa"/>
          </w:tcPr>
          <w:p w14:paraId="315C1209" w14:textId="77777777" w:rsidR="00B57A5A" w:rsidRPr="00801B61" w:rsidRDefault="00801B61" w:rsidP="00725750">
            <w:r w:rsidRPr="00801B61">
              <w:t>Innovate UK</w:t>
            </w:r>
          </w:p>
        </w:tc>
      </w:tr>
      <w:tr w:rsidR="00614682" w14:paraId="60072615" w14:textId="77777777" w:rsidTr="00725750">
        <w:tc>
          <w:tcPr>
            <w:tcW w:w="2440" w:type="dxa"/>
          </w:tcPr>
          <w:p w14:paraId="2F661AA0" w14:textId="77777777" w:rsidR="00B57A5A" w:rsidRPr="00801B61" w:rsidRDefault="00801B61" w:rsidP="00725750">
            <w:r w:rsidRPr="00801B61">
              <w:t>Dion Williams</w:t>
            </w:r>
          </w:p>
        </w:tc>
        <w:tc>
          <w:tcPr>
            <w:tcW w:w="3367" w:type="dxa"/>
          </w:tcPr>
          <w:p w14:paraId="7B18468F" w14:textId="77777777" w:rsidR="00B57A5A" w:rsidRPr="00801B61" w:rsidRDefault="00801B61" w:rsidP="00725750">
            <w:r w:rsidRPr="00801B61">
              <w:t>Universities Rep</w:t>
            </w:r>
          </w:p>
        </w:tc>
        <w:tc>
          <w:tcPr>
            <w:tcW w:w="3260" w:type="dxa"/>
          </w:tcPr>
          <w:p w14:paraId="6D57E55E" w14:textId="77777777" w:rsidR="00B57A5A" w:rsidRPr="00801B61" w:rsidRDefault="00801B61" w:rsidP="00725750">
            <w:r w:rsidRPr="00801B61">
              <w:t>Lancaster University</w:t>
            </w:r>
          </w:p>
        </w:tc>
      </w:tr>
      <w:tr w:rsidR="00614682" w14:paraId="6AEFE83B" w14:textId="77777777" w:rsidTr="00725750">
        <w:tc>
          <w:tcPr>
            <w:tcW w:w="2440" w:type="dxa"/>
          </w:tcPr>
          <w:p w14:paraId="0D4CD2DE" w14:textId="77777777" w:rsidR="00B57A5A" w:rsidRPr="00801B61" w:rsidRDefault="00801B61" w:rsidP="00725750">
            <w:r w:rsidRPr="00801B61">
              <w:t>Natalie Jones</w:t>
            </w:r>
          </w:p>
        </w:tc>
        <w:tc>
          <w:tcPr>
            <w:tcW w:w="3367" w:type="dxa"/>
          </w:tcPr>
          <w:p w14:paraId="57423CF4" w14:textId="77777777" w:rsidR="00B57A5A" w:rsidRPr="00801B61" w:rsidRDefault="00801B61" w:rsidP="00725750">
            <w:r w:rsidRPr="00801B61">
              <w:t>Research &amp; Science Rep</w:t>
            </w:r>
          </w:p>
        </w:tc>
        <w:tc>
          <w:tcPr>
            <w:tcW w:w="3260" w:type="dxa"/>
          </w:tcPr>
          <w:p w14:paraId="23294039" w14:textId="77777777" w:rsidR="00B57A5A" w:rsidRPr="00801B61" w:rsidRDefault="00801B61" w:rsidP="00725750">
            <w:r w:rsidRPr="00801B61">
              <w:t>Engineering &amp; Physical</w:t>
            </w:r>
          </w:p>
          <w:p w14:paraId="00918D8C" w14:textId="77777777" w:rsidR="00B57A5A" w:rsidRPr="00801B61" w:rsidRDefault="00801B61" w:rsidP="00725750">
            <w:r w:rsidRPr="00801B61">
              <w:t>Sciences Council</w:t>
            </w:r>
          </w:p>
        </w:tc>
      </w:tr>
      <w:tr w:rsidR="00614682" w14:paraId="3FE99180" w14:textId="77777777" w:rsidTr="00725750">
        <w:tc>
          <w:tcPr>
            <w:tcW w:w="2440" w:type="dxa"/>
          </w:tcPr>
          <w:p w14:paraId="10AD1E5E" w14:textId="77777777" w:rsidR="00B57A5A" w:rsidRPr="00801B61" w:rsidRDefault="00801B61" w:rsidP="00725750">
            <w:r w:rsidRPr="00801B61">
              <w:t>Jane Binnion</w:t>
            </w:r>
          </w:p>
        </w:tc>
        <w:tc>
          <w:tcPr>
            <w:tcW w:w="3367" w:type="dxa"/>
          </w:tcPr>
          <w:p w14:paraId="5C72AF9F" w14:textId="77777777" w:rsidR="00B57A5A" w:rsidRPr="00801B61" w:rsidRDefault="00801B61" w:rsidP="00725750">
            <w:r w:rsidRPr="00801B61">
              <w:t>Start-up, Micro &amp; SME Rep</w:t>
            </w:r>
          </w:p>
        </w:tc>
        <w:tc>
          <w:tcPr>
            <w:tcW w:w="3260" w:type="dxa"/>
          </w:tcPr>
          <w:p w14:paraId="36C85ECC" w14:textId="77777777" w:rsidR="00B57A5A" w:rsidRPr="00801B61" w:rsidRDefault="00801B61" w:rsidP="00725750">
            <w:r w:rsidRPr="00801B61">
              <w:t>Growing Club Ltd</w:t>
            </w:r>
          </w:p>
        </w:tc>
      </w:tr>
      <w:tr w:rsidR="00614682" w14:paraId="1FDB0EBF" w14:textId="77777777" w:rsidTr="00725750">
        <w:tc>
          <w:tcPr>
            <w:tcW w:w="2440" w:type="dxa"/>
          </w:tcPr>
          <w:p w14:paraId="7E7FA9B9" w14:textId="77777777" w:rsidR="00B57A5A" w:rsidRPr="00801B61" w:rsidRDefault="00801B61" w:rsidP="00725750">
            <w:r w:rsidRPr="00801B61">
              <w:t>Jane Dalton</w:t>
            </w:r>
          </w:p>
        </w:tc>
        <w:tc>
          <w:tcPr>
            <w:tcW w:w="3367" w:type="dxa"/>
          </w:tcPr>
          <w:p w14:paraId="029F1054" w14:textId="77777777" w:rsidR="00B57A5A" w:rsidRPr="00801B61" w:rsidRDefault="00801B61" w:rsidP="00725750">
            <w:r w:rsidRPr="00801B61">
              <w:t>Strategy &amp; Branding Rep</w:t>
            </w:r>
          </w:p>
        </w:tc>
        <w:tc>
          <w:tcPr>
            <w:tcW w:w="3260" w:type="dxa"/>
          </w:tcPr>
          <w:p w14:paraId="2B420C35" w14:textId="77777777" w:rsidR="00B57A5A" w:rsidRPr="00801B61" w:rsidRDefault="00801B61" w:rsidP="00725750">
            <w:r w:rsidRPr="00801B61">
              <w:t>Groundswell Innovation Ltd</w:t>
            </w:r>
          </w:p>
        </w:tc>
      </w:tr>
      <w:tr w:rsidR="00614682" w14:paraId="7F541BE9" w14:textId="77777777" w:rsidTr="00725750">
        <w:tc>
          <w:tcPr>
            <w:tcW w:w="2440" w:type="dxa"/>
          </w:tcPr>
          <w:p w14:paraId="31D1766D" w14:textId="77777777" w:rsidR="00B57A5A" w:rsidRPr="00801B61" w:rsidRDefault="00801B61" w:rsidP="00725750">
            <w:r w:rsidRPr="00801B61">
              <w:t>Lorna Green</w:t>
            </w:r>
          </w:p>
        </w:tc>
        <w:tc>
          <w:tcPr>
            <w:tcW w:w="3367" w:type="dxa"/>
          </w:tcPr>
          <w:p w14:paraId="4BB9008C" w14:textId="77777777" w:rsidR="00B57A5A" w:rsidRPr="00801B61" w:rsidRDefault="00801B61" w:rsidP="00725750">
            <w:r w:rsidRPr="00801B61">
              <w:t>Thematic - Health &amp; Life</w:t>
            </w:r>
          </w:p>
          <w:p w14:paraId="1356E99B" w14:textId="77777777" w:rsidR="00B57A5A" w:rsidRPr="00801B61" w:rsidRDefault="00801B61" w:rsidP="00725750">
            <w:r w:rsidRPr="00801B61">
              <w:t>Sciences</w:t>
            </w:r>
          </w:p>
        </w:tc>
        <w:tc>
          <w:tcPr>
            <w:tcW w:w="3260" w:type="dxa"/>
          </w:tcPr>
          <w:p w14:paraId="084CA49F" w14:textId="77777777" w:rsidR="00B57A5A" w:rsidRPr="00801B61" w:rsidRDefault="00801B61" w:rsidP="00725750">
            <w:r w:rsidRPr="00801B61">
              <w:t>Innovation Agency (AHSN)</w:t>
            </w:r>
          </w:p>
        </w:tc>
      </w:tr>
      <w:tr w:rsidR="00614682" w14:paraId="1194A2EB" w14:textId="77777777" w:rsidTr="00725750">
        <w:tc>
          <w:tcPr>
            <w:tcW w:w="2440" w:type="dxa"/>
          </w:tcPr>
          <w:p w14:paraId="58BFA3AB" w14:textId="77777777" w:rsidR="00B57A5A" w:rsidRPr="00801B61" w:rsidRDefault="00801B61" w:rsidP="00725750">
            <w:r w:rsidRPr="00801B61">
              <w:t>Lindsay Roche</w:t>
            </w:r>
          </w:p>
        </w:tc>
        <w:tc>
          <w:tcPr>
            <w:tcW w:w="3367" w:type="dxa"/>
          </w:tcPr>
          <w:p w14:paraId="4AF6B1DC" w14:textId="77777777" w:rsidR="00725750" w:rsidRPr="00801B61" w:rsidRDefault="00801B61" w:rsidP="00725750">
            <w:r w:rsidRPr="00801B61">
              <w:t xml:space="preserve">Thematic - Energy &amp; </w:t>
            </w:r>
          </w:p>
          <w:p w14:paraId="75121D7C" w14:textId="77777777" w:rsidR="00B57A5A" w:rsidRPr="00801B61" w:rsidRDefault="00801B61" w:rsidP="00725750">
            <w:r w:rsidRPr="00801B61">
              <w:t>Environment</w:t>
            </w:r>
          </w:p>
        </w:tc>
        <w:tc>
          <w:tcPr>
            <w:tcW w:w="3260" w:type="dxa"/>
          </w:tcPr>
          <w:p w14:paraId="530212B6" w14:textId="77777777" w:rsidR="00B57A5A" w:rsidRPr="00801B61" w:rsidRDefault="00801B61" w:rsidP="00725750">
            <w:r w:rsidRPr="00801B61">
              <w:t>Westinghouse Ltd</w:t>
            </w:r>
          </w:p>
        </w:tc>
      </w:tr>
      <w:tr w:rsidR="00614682" w14:paraId="74CC675B" w14:textId="77777777" w:rsidTr="00725750">
        <w:tc>
          <w:tcPr>
            <w:tcW w:w="2440" w:type="dxa"/>
          </w:tcPr>
          <w:p w14:paraId="0E3AB9D6" w14:textId="77777777" w:rsidR="00B57A5A" w:rsidRPr="00801B61" w:rsidRDefault="00801B61" w:rsidP="00725750">
            <w:r w:rsidRPr="00801B61">
              <w:t>Pete Lee</w:t>
            </w:r>
          </w:p>
        </w:tc>
        <w:tc>
          <w:tcPr>
            <w:tcW w:w="3367" w:type="dxa"/>
          </w:tcPr>
          <w:p w14:paraId="7DF7FD83" w14:textId="77777777" w:rsidR="00B57A5A" w:rsidRPr="00801B61" w:rsidRDefault="00801B61" w:rsidP="00725750">
            <w:r w:rsidRPr="00801B61">
              <w:t xml:space="preserve">Thematic - Manufacturing &amp; </w:t>
            </w:r>
          </w:p>
          <w:p w14:paraId="2DC58254" w14:textId="77777777" w:rsidR="00B57A5A" w:rsidRPr="00801B61" w:rsidRDefault="00801B61" w:rsidP="00725750">
            <w:r w:rsidRPr="00801B61">
              <w:t>Construction</w:t>
            </w:r>
          </w:p>
        </w:tc>
        <w:tc>
          <w:tcPr>
            <w:tcW w:w="3260" w:type="dxa"/>
          </w:tcPr>
          <w:p w14:paraId="0D258E2F" w14:textId="77777777" w:rsidR="00B57A5A" w:rsidRPr="00801B61" w:rsidRDefault="00801B61" w:rsidP="00725750">
            <w:r w:rsidRPr="00801B61">
              <w:t>Victrex Ltd</w:t>
            </w:r>
          </w:p>
        </w:tc>
      </w:tr>
      <w:tr w:rsidR="00614682" w14:paraId="5103B142" w14:textId="77777777" w:rsidTr="00725750">
        <w:tc>
          <w:tcPr>
            <w:tcW w:w="2440" w:type="dxa"/>
          </w:tcPr>
          <w:p w14:paraId="60A5F66F" w14:textId="77777777" w:rsidR="00B57A5A" w:rsidRPr="00801B61" w:rsidRDefault="00801B61" w:rsidP="00725750">
            <w:pPr>
              <w:ind w:left="0" w:firstLine="0"/>
              <w:rPr>
                <w:b/>
                <w:bCs/>
              </w:rPr>
            </w:pPr>
            <w:r w:rsidRPr="00801B61">
              <w:rPr>
                <w:b/>
                <w:bCs/>
              </w:rPr>
              <w:t>Michael Gibson</w:t>
            </w:r>
          </w:p>
        </w:tc>
        <w:tc>
          <w:tcPr>
            <w:tcW w:w="3367" w:type="dxa"/>
          </w:tcPr>
          <w:p w14:paraId="59EBDB36" w14:textId="77777777" w:rsidR="00725750" w:rsidRPr="00801B61" w:rsidRDefault="00801B61" w:rsidP="00725750">
            <w:pPr>
              <w:rPr>
                <w:b/>
                <w:bCs/>
              </w:rPr>
            </w:pPr>
            <w:r w:rsidRPr="00801B61">
              <w:rPr>
                <w:b/>
                <w:bCs/>
              </w:rPr>
              <w:t xml:space="preserve">Thematic </w:t>
            </w:r>
            <w:r w:rsidRPr="00801B61">
              <w:rPr>
                <w:b/>
                <w:bCs/>
              </w:rPr>
              <w:t>–</w:t>
            </w:r>
            <w:r w:rsidRPr="00801B61">
              <w:rPr>
                <w:b/>
                <w:bCs/>
              </w:rPr>
              <w:t xml:space="preserve"> Digital</w:t>
            </w:r>
            <w:r w:rsidRPr="00801B61">
              <w:rPr>
                <w:b/>
                <w:bCs/>
              </w:rPr>
              <w:t xml:space="preserve"> and </w:t>
            </w:r>
          </w:p>
          <w:p w14:paraId="48458D1E" w14:textId="77777777" w:rsidR="00B57A5A" w:rsidRPr="00801B61" w:rsidRDefault="00801B61" w:rsidP="00725750">
            <w:pPr>
              <w:rPr>
                <w:b/>
                <w:bCs/>
              </w:rPr>
            </w:pPr>
            <w:r w:rsidRPr="00801B61">
              <w:rPr>
                <w:b/>
                <w:bCs/>
              </w:rPr>
              <w:t>Technology</w:t>
            </w:r>
          </w:p>
        </w:tc>
        <w:tc>
          <w:tcPr>
            <w:tcW w:w="3260" w:type="dxa"/>
          </w:tcPr>
          <w:p w14:paraId="2F43A452" w14:textId="77777777" w:rsidR="00B57A5A" w:rsidRPr="00801B61" w:rsidRDefault="00801B61" w:rsidP="00725750">
            <w:pPr>
              <w:rPr>
                <w:b/>
                <w:bCs/>
              </w:rPr>
            </w:pPr>
            <w:r w:rsidRPr="00801B61">
              <w:rPr>
                <w:b/>
                <w:bCs/>
              </w:rPr>
              <w:t>Miralis</w:t>
            </w:r>
            <w:r w:rsidRPr="00801B61">
              <w:rPr>
                <w:b/>
                <w:bCs/>
              </w:rPr>
              <w:t xml:space="preserve"> Data Limited</w:t>
            </w:r>
          </w:p>
        </w:tc>
      </w:tr>
      <w:tr w:rsidR="00614682" w14:paraId="3F20FA02" w14:textId="77777777" w:rsidTr="00725750">
        <w:tc>
          <w:tcPr>
            <w:tcW w:w="2440" w:type="dxa"/>
          </w:tcPr>
          <w:p w14:paraId="15B41828" w14:textId="77777777" w:rsidR="00B57A5A" w:rsidRPr="00801B61" w:rsidRDefault="00801B61" w:rsidP="00725750">
            <w:r w:rsidRPr="00801B61">
              <w:t>Gaynor Dykes</w:t>
            </w:r>
          </w:p>
        </w:tc>
        <w:tc>
          <w:tcPr>
            <w:tcW w:w="3367" w:type="dxa"/>
          </w:tcPr>
          <w:p w14:paraId="390F6E94" w14:textId="77777777" w:rsidR="00B57A5A" w:rsidRPr="00801B61" w:rsidRDefault="00801B61" w:rsidP="00725750">
            <w:r w:rsidRPr="00801B61">
              <w:t>Thematic - Professional &amp;</w:t>
            </w:r>
          </w:p>
          <w:p w14:paraId="2011F883" w14:textId="77777777" w:rsidR="00B57A5A" w:rsidRPr="00801B61" w:rsidRDefault="00801B61" w:rsidP="00725750">
            <w:r w:rsidRPr="00801B61">
              <w:t>Services</w:t>
            </w:r>
          </w:p>
        </w:tc>
        <w:tc>
          <w:tcPr>
            <w:tcW w:w="3260" w:type="dxa"/>
          </w:tcPr>
          <w:p w14:paraId="6C777DC6" w14:textId="77777777" w:rsidR="00B57A5A" w:rsidRPr="00801B61" w:rsidRDefault="00801B61" w:rsidP="00725750">
            <w:r w:rsidRPr="00801B61">
              <w:t>Grant Thornton</w:t>
            </w:r>
          </w:p>
        </w:tc>
      </w:tr>
      <w:tr w:rsidR="00614682" w14:paraId="3FA3B8B8" w14:textId="77777777" w:rsidTr="00725750">
        <w:tc>
          <w:tcPr>
            <w:tcW w:w="2440" w:type="dxa"/>
          </w:tcPr>
          <w:p w14:paraId="6F23F9E9" w14:textId="77777777" w:rsidR="00B57A5A" w:rsidRPr="00801B61" w:rsidRDefault="00801B61" w:rsidP="00725750">
            <w:pPr>
              <w:rPr>
                <w:b/>
                <w:bCs/>
              </w:rPr>
            </w:pPr>
            <w:r w:rsidRPr="00801B61">
              <w:rPr>
                <w:b/>
                <w:bCs/>
              </w:rPr>
              <w:t>Judson Smythe</w:t>
            </w:r>
          </w:p>
        </w:tc>
        <w:tc>
          <w:tcPr>
            <w:tcW w:w="3367" w:type="dxa"/>
          </w:tcPr>
          <w:p w14:paraId="52376205" w14:textId="77777777" w:rsidR="00725750" w:rsidRPr="00801B61" w:rsidRDefault="00801B61" w:rsidP="00725750">
            <w:pPr>
              <w:rPr>
                <w:b/>
                <w:bCs/>
              </w:rPr>
            </w:pPr>
            <w:r w:rsidRPr="00801B61">
              <w:rPr>
                <w:b/>
                <w:bCs/>
              </w:rPr>
              <w:t xml:space="preserve"> </w:t>
            </w:r>
            <w:r w:rsidRPr="00801B61">
              <w:rPr>
                <w:b/>
                <w:bCs/>
              </w:rPr>
              <w:t>Thematic – Manufacturing</w:t>
            </w:r>
          </w:p>
          <w:p w14:paraId="31B835C1" w14:textId="77777777" w:rsidR="00B57A5A" w:rsidRPr="00801B61" w:rsidRDefault="00801B61" w:rsidP="00725750">
            <w:pPr>
              <w:rPr>
                <w:b/>
                <w:bCs/>
              </w:rPr>
            </w:pPr>
            <w:r w:rsidRPr="00801B61">
              <w:rPr>
                <w:b/>
                <w:bCs/>
              </w:rPr>
              <w:t>&amp;</w:t>
            </w:r>
            <w:r w:rsidRPr="00801B61">
              <w:rPr>
                <w:b/>
                <w:bCs/>
              </w:rPr>
              <w:t xml:space="preserve"> </w:t>
            </w:r>
            <w:r w:rsidRPr="00801B61">
              <w:rPr>
                <w:b/>
                <w:bCs/>
              </w:rPr>
              <w:t>Construction (additional)</w:t>
            </w:r>
          </w:p>
        </w:tc>
        <w:tc>
          <w:tcPr>
            <w:tcW w:w="3260" w:type="dxa"/>
          </w:tcPr>
          <w:p w14:paraId="02F30216" w14:textId="77777777" w:rsidR="00B57A5A" w:rsidRPr="00801B61" w:rsidRDefault="00801B61" w:rsidP="00725750">
            <w:pPr>
              <w:rPr>
                <w:b/>
                <w:bCs/>
              </w:rPr>
            </w:pPr>
            <w:r w:rsidRPr="00801B61">
              <w:rPr>
                <w:b/>
                <w:bCs/>
              </w:rPr>
              <w:t>MGS Plastics Limited</w:t>
            </w:r>
          </w:p>
        </w:tc>
      </w:tr>
    </w:tbl>
    <w:p w14:paraId="06F24391" w14:textId="77777777" w:rsidR="00512980" w:rsidRDefault="00801B61" w:rsidP="00512980">
      <w:pPr>
        <w:spacing w:after="0"/>
        <w:rPr>
          <w:b/>
          <w:color w:val="auto"/>
          <w:lang w:eastAsia="en-US"/>
        </w:rPr>
      </w:pPr>
      <w:r w:rsidRPr="00E246D4">
        <w:rPr>
          <w:b/>
          <w:color w:val="auto"/>
          <w:lang w:eastAsia="en-US"/>
        </w:rPr>
        <w:t>Register of Interests</w:t>
      </w:r>
    </w:p>
    <w:p w14:paraId="1716B831" w14:textId="77777777" w:rsidR="00725750" w:rsidRPr="00E246D4" w:rsidRDefault="00801B61" w:rsidP="00512980">
      <w:pPr>
        <w:spacing w:after="0"/>
        <w:rPr>
          <w:b/>
          <w:color w:val="auto"/>
          <w:lang w:eastAsia="en-US"/>
        </w:rPr>
      </w:pPr>
    </w:p>
    <w:p w14:paraId="5DA4F136" w14:textId="77777777" w:rsidR="00312FC6" w:rsidRDefault="00801B61" w:rsidP="00512980">
      <w:pPr>
        <w:spacing w:line="250" w:lineRule="auto"/>
        <w:ind w:left="0" w:firstLine="0"/>
        <w:jc w:val="both"/>
      </w:pPr>
      <w:r w:rsidRPr="00E246D4">
        <w:rPr>
          <w:color w:val="auto"/>
          <w:lang w:eastAsia="en-US"/>
        </w:rPr>
        <w:t xml:space="preserve">All </w:t>
      </w:r>
      <w:r>
        <w:rPr>
          <w:color w:val="auto"/>
          <w:lang w:eastAsia="en-US"/>
        </w:rPr>
        <w:t xml:space="preserve">Board members </w:t>
      </w:r>
      <w:r w:rsidRPr="00E246D4">
        <w:rPr>
          <w:color w:val="auto"/>
          <w:lang w:eastAsia="en-US"/>
        </w:rPr>
        <w:t xml:space="preserve">will be asked to review their current declarations of interest and an updated Register of Interest will be made available to view on the </w:t>
      </w:r>
      <w:r>
        <w:rPr>
          <w:color w:val="auto"/>
          <w:lang w:eastAsia="en-US"/>
        </w:rPr>
        <w:t xml:space="preserve">LEP </w:t>
      </w:r>
      <w:r w:rsidRPr="00E246D4">
        <w:rPr>
          <w:color w:val="auto"/>
          <w:lang w:eastAsia="en-US"/>
        </w:rPr>
        <w:t>website in due course</w:t>
      </w:r>
    </w:p>
    <w:p w14:paraId="1BC6946A" w14:textId="77777777" w:rsidR="00A613A0" w:rsidRDefault="00801B61" w:rsidP="007F7B7E">
      <w:pPr>
        <w:spacing w:line="250" w:lineRule="auto"/>
        <w:ind w:left="0" w:firstLine="0"/>
        <w:jc w:val="both"/>
      </w:pPr>
      <w:r>
        <w:t xml:space="preserve"> </w:t>
      </w:r>
    </w:p>
    <w:p w14:paraId="2C385A49" w14:textId="77777777" w:rsidR="00B959D4" w:rsidRPr="00ED571D" w:rsidRDefault="00801B61" w:rsidP="007F7B7E">
      <w:pPr>
        <w:keepNext/>
        <w:keepLines/>
        <w:spacing w:before="40" w:after="0"/>
        <w:jc w:val="both"/>
        <w:outlineLvl w:val="4"/>
        <w:rPr>
          <w:rFonts w:eastAsiaTheme="majorEastAsia" w:cstheme="majorBidi"/>
          <w:b/>
          <w:color w:val="auto"/>
        </w:rPr>
      </w:pPr>
      <w:r w:rsidRPr="00ED571D">
        <w:rPr>
          <w:rFonts w:eastAsiaTheme="majorEastAsia" w:cstheme="majorBidi"/>
          <w:b/>
          <w:color w:val="auto"/>
        </w:rPr>
        <w:t>List of Background Papers</w:t>
      </w:r>
    </w:p>
    <w:p w14:paraId="08EC69B5" w14:textId="77777777" w:rsidR="00B959D4" w:rsidRPr="00ED571D" w:rsidRDefault="00801B61" w:rsidP="007F7B7E">
      <w:pPr>
        <w:jc w:val="both"/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835"/>
      </w:tblGrid>
      <w:tr w:rsidR="00614682" w14:paraId="767D5EED" w14:textId="77777777" w:rsidTr="00725750">
        <w:tc>
          <w:tcPr>
            <w:tcW w:w="4253" w:type="dxa"/>
          </w:tcPr>
          <w:p w14:paraId="709FE74B" w14:textId="77777777" w:rsidR="00B959D4" w:rsidRPr="00ED571D" w:rsidRDefault="00801B61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Paper</w:t>
            </w:r>
          </w:p>
        </w:tc>
        <w:tc>
          <w:tcPr>
            <w:tcW w:w="2268" w:type="dxa"/>
          </w:tcPr>
          <w:p w14:paraId="41791E55" w14:textId="77777777" w:rsidR="00B959D4" w:rsidRPr="00ED571D" w:rsidRDefault="00801B61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Date</w:t>
            </w:r>
          </w:p>
        </w:tc>
        <w:tc>
          <w:tcPr>
            <w:tcW w:w="2835" w:type="dxa"/>
          </w:tcPr>
          <w:p w14:paraId="5E8D86E8" w14:textId="77777777" w:rsidR="00B959D4" w:rsidRPr="00ED571D" w:rsidRDefault="00801B61" w:rsidP="007F7B7E">
            <w:pPr>
              <w:keepNext/>
              <w:keepLines/>
              <w:spacing w:before="40" w:after="0"/>
              <w:jc w:val="both"/>
              <w:outlineLvl w:val="6"/>
              <w:rPr>
                <w:rFonts w:eastAsiaTheme="majorEastAsia"/>
                <w:iCs/>
                <w:color w:val="auto"/>
              </w:rPr>
            </w:pPr>
            <w:r w:rsidRPr="00ED571D">
              <w:rPr>
                <w:rFonts w:eastAsiaTheme="majorEastAsia"/>
                <w:iCs/>
                <w:color w:val="auto"/>
              </w:rPr>
              <w:t>Contact/Tel</w:t>
            </w:r>
          </w:p>
        </w:tc>
      </w:tr>
      <w:tr w:rsidR="00614682" w14:paraId="1A0ED8CD" w14:textId="77777777" w:rsidTr="00725750">
        <w:tc>
          <w:tcPr>
            <w:tcW w:w="4253" w:type="dxa"/>
          </w:tcPr>
          <w:p w14:paraId="42AF9279" w14:textId="77777777" w:rsidR="00512980" w:rsidRDefault="00801B61" w:rsidP="00512980">
            <w:r>
              <w:t xml:space="preserve">Lancashire Enterprise </w:t>
            </w:r>
            <w:r>
              <w:t>Partnership</w:t>
            </w:r>
          </w:p>
          <w:p w14:paraId="649306D8" w14:textId="77777777" w:rsidR="00B959D4" w:rsidRDefault="00801B61" w:rsidP="00512980">
            <w:r>
              <w:t>Board agenda/minutes</w:t>
            </w:r>
          </w:p>
          <w:p w14:paraId="777A72F8" w14:textId="77777777" w:rsidR="00725750" w:rsidRDefault="00801B61" w:rsidP="00512980"/>
          <w:p w14:paraId="2F998084" w14:textId="77777777" w:rsidR="00B959D4" w:rsidRPr="00ED571D" w:rsidRDefault="00801B61" w:rsidP="00512980">
            <w:r>
              <w:t>Innovation Board</w:t>
            </w:r>
            <w:r>
              <w:t xml:space="preserve"> </w:t>
            </w:r>
            <w:r>
              <w:t>Agenda/minutes</w:t>
            </w:r>
          </w:p>
        </w:tc>
        <w:tc>
          <w:tcPr>
            <w:tcW w:w="2268" w:type="dxa"/>
          </w:tcPr>
          <w:p w14:paraId="2EE41B80" w14:textId="77777777" w:rsidR="00B959D4" w:rsidRDefault="00801B61" w:rsidP="00512980">
            <w:r>
              <w:t>23</w:t>
            </w:r>
            <w:r w:rsidRPr="00512980">
              <w:rPr>
                <w:vertAlign w:val="superscript"/>
              </w:rPr>
              <w:t>rd</w:t>
            </w:r>
            <w:r>
              <w:t xml:space="preserve"> June 2020</w:t>
            </w:r>
          </w:p>
          <w:p w14:paraId="7FFFC547" w14:textId="77777777" w:rsidR="00B57A5A" w:rsidRDefault="00801B61" w:rsidP="00512980"/>
          <w:p w14:paraId="12403573" w14:textId="77777777" w:rsidR="00B57A5A" w:rsidRDefault="00801B61" w:rsidP="00512980"/>
          <w:p w14:paraId="444F2B9C" w14:textId="77777777" w:rsidR="00B57A5A" w:rsidRPr="00ED571D" w:rsidRDefault="00801B61" w:rsidP="00512980">
            <w:r>
              <w:t>19</w:t>
            </w:r>
            <w:r w:rsidRPr="00B57A5A">
              <w:rPr>
                <w:vertAlign w:val="superscript"/>
              </w:rPr>
              <w:t>th</w:t>
            </w:r>
            <w:r>
              <w:t xml:space="preserve"> February 2021</w:t>
            </w:r>
          </w:p>
        </w:tc>
        <w:tc>
          <w:tcPr>
            <w:tcW w:w="2835" w:type="dxa"/>
          </w:tcPr>
          <w:p w14:paraId="2C48C74E" w14:textId="77777777" w:rsidR="00B959D4" w:rsidRDefault="00801B61" w:rsidP="00512980">
            <w:r>
              <w:t>M Neville 01772 533431</w:t>
            </w:r>
          </w:p>
          <w:p w14:paraId="7F12C7AF" w14:textId="77777777" w:rsidR="00B57A5A" w:rsidRDefault="00801B61" w:rsidP="00512980"/>
          <w:p w14:paraId="0E83884D" w14:textId="77777777" w:rsidR="00725750" w:rsidRDefault="00801B61" w:rsidP="00B57A5A"/>
          <w:p w14:paraId="6710B209" w14:textId="77777777" w:rsidR="00B57A5A" w:rsidRDefault="00801B61" w:rsidP="00B57A5A">
            <w:r>
              <w:t>M Neville 01772 533431</w:t>
            </w:r>
          </w:p>
          <w:p w14:paraId="068AE8BA" w14:textId="77777777" w:rsidR="00725750" w:rsidRPr="00ED571D" w:rsidRDefault="00801B61" w:rsidP="00B57A5A"/>
        </w:tc>
      </w:tr>
      <w:tr w:rsidR="00614682" w14:paraId="2B8B7CC1" w14:textId="77777777" w:rsidTr="00725750">
        <w:trPr>
          <w:cantSplit/>
        </w:trPr>
        <w:tc>
          <w:tcPr>
            <w:tcW w:w="9356" w:type="dxa"/>
            <w:gridSpan w:val="3"/>
          </w:tcPr>
          <w:p w14:paraId="469FF0E9" w14:textId="77777777" w:rsidR="00725750" w:rsidRDefault="00801B61" w:rsidP="00B57A5A">
            <w:pPr>
              <w:jc w:val="both"/>
            </w:pPr>
            <w:r w:rsidRPr="00ED571D">
              <w:t>Reason for inclusion in Part II, if appropriate</w:t>
            </w:r>
          </w:p>
          <w:p w14:paraId="00E9FC94" w14:textId="77777777" w:rsidR="00B959D4" w:rsidRPr="00B4177E" w:rsidRDefault="00801B61" w:rsidP="00B57A5A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t>N/A</w:t>
            </w:r>
          </w:p>
        </w:tc>
      </w:tr>
    </w:tbl>
    <w:p w14:paraId="213DBA6E" w14:textId="77777777" w:rsidR="00B959D4" w:rsidRDefault="00801B61" w:rsidP="00834DF7">
      <w:pPr>
        <w:jc w:val="both"/>
      </w:pPr>
    </w:p>
    <w:sectPr w:rsidR="00B959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4CB5D" w14:textId="77777777" w:rsidR="00000000" w:rsidRDefault="00801B61">
      <w:pPr>
        <w:spacing w:after="0" w:line="240" w:lineRule="auto"/>
      </w:pPr>
      <w:r>
        <w:separator/>
      </w:r>
    </w:p>
  </w:endnote>
  <w:endnote w:type="continuationSeparator" w:id="0">
    <w:p w14:paraId="74D43BF5" w14:textId="77777777" w:rsidR="00000000" w:rsidRDefault="0080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5C36C" w14:textId="77777777" w:rsidR="00000000" w:rsidRDefault="00801B61">
      <w:pPr>
        <w:spacing w:after="0" w:line="240" w:lineRule="auto"/>
      </w:pPr>
      <w:r>
        <w:separator/>
      </w:r>
    </w:p>
  </w:footnote>
  <w:footnote w:type="continuationSeparator" w:id="0">
    <w:p w14:paraId="582313F3" w14:textId="77777777" w:rsidR="00000000" w:rsidRDefault="0080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15A8" w14:textId="77777777" w:rsidR="00CF1133" w:rsidRDefault="00801B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3DD9E4" wp14:editId="5FDCAECE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953133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D12"/>
    <w:multiLevelType w:val="hybridMultilevel"/>
    <w:tmpl w:val="01823A7C"/>
    <w:lvl w:ilvl="0" w:tplc="65D03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A40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A1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C2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C6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44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25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28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03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3880C3C"/>
    <w:multiLevelType w:val="hybridMultilevel"/>
    <w:tmpl w:val="1E0E49E4"/>
    <w:lvl w:ilvl="0" w:tplc="B9C2F5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1A2D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8EB5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48AA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08AE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8401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B454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201E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982B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473D4"/>
    <w:multiLevelType w:val="hybridMultilevel"/>
    <w:tmpl w:val="0BBA2C0C"/>
    <w:lvl w:ilvl="0" w:tplc="C7048B54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A1C4803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6B26029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0630A786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BA2199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FD0A0D70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F6A22572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0B98038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689ECE9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 w15:restartNumberingAfterBreak="0">
    <w:nsid w:val="4B233975"/>
    <w:multiLevelType w:val="hybridMultilevel"/>
    <w:tmpl w:val="F684D966"/>
    <w:lvl w:ilvl="0" w:tplc="6B4CC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8AF8C" w:tentative="1">
      <w:start w:val="1"/>
      <w:numFmt w:val="lowerLetter"/>
      <w:lvlText w:val="%2."/>
      <w:lvlJc w:val="left"/>
      <w:pPr>
        <w:ind w:left="1440" w:hanging="360"/>
      </w:pPr>
    </w:lvl>
    <w:lvl w:ilvl="2" w:tplc="10E44F60" w:tentative="1">
      <w:start w:val="1"/>
      <w:numFmt w:val="lowerRoman"/>
      <w:lvlText w:val="%3."/>
      <w:lvlJc w:val="right"/>
      <w:pPr>
        <w:ind w:left="2160" w:hanging="180"/>
      </w:pPr>
    </w:lvl>
    <w:lvl w:ilvl="3" w:tplc="931873E6" w:tentative="1">
      <w:start w:val="1"/>
      <w:numFmt w:val="decimal"/>
      <w:lvlText w:val="%4."/>
      <w:lvlJc w:val="left"/>
      <w:pPr>
        <w:ind w:left="2880" w:hanging="360"/>
      </w:pPr>
    </w:lvl>
    <w:lvl w:ilvl="4" w:tplc="C97E9EF2" w:tentative="1">
      <w:start w:val="1"/>
      <w:numFmt w:val="lowerLetter"/>
      <w:lvlText w:val="%5."/>
      <w:lvlJc w:val="left"/>
      <w:pPr>
        <w:ind w:left="3600" w:hanging="360"/>
      </w:pPr>
    </w:lvl>
    <w:lvl w:ilvl="5" w:tplc="517428EA" w:tentative="1">
      <w:start w:val="1"/>
      <w:numFmt w:val="lowerRoman"/>
      <w:lvlText w:val="%6."/>
      <w:lvlJc w:val="right"/>
      <w:pPr>
        <w:ind w:left="4320" w:hanging="180"/>
      </w:pPr>
    </w:lvl>
    <w:lvl w:ilvl="6" w:tplc="F430628A" w:tentative="1">
      <w:start w:val="1"/>
      <w:numFmt w:val="decimal"/>
      <w:lvlText w:val="%7."/>
      <w:lvlJc w:val="left"/>
      <w:pPr>
        <w:ind w:left="5040" w:hanging="360"/>
      </w:pPr>
    </w:lvl>
    <w:lvl w:ilvl="7" w:tplc="C7A476B6" w:tentative="1">
      <w:start w:val="1"/>
      <w:numFmt w:val="lowerLetter"/>
      <w:lvlText w:val="%8."/>
      <w:lvlJc w:val="left"/>
      <w:pPr>
        <w:ind w:left="5760" w:hanging="360"/>
      </w:pPr>
    </w:lvl>
    <w:lvl w:ilvl="8" w:tplc="C9E03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82"/>
    <w:rsid w:val="00614682"/>
    <w:rsid w:val="0080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280F"/>
  <w15:docId w15:val="{2E7309A0-9842-49F1-84AE-5B51E363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D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55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4E1555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B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B"/>
    <w:rPr>
      <w:rFonts w:ascii="Arial" w:eastAsia="Calibri" w:hAnsi="Arial" w:cs="Arial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12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cil.lancashire.gov.uk/ieListDocuments.aspx?CId=938&amp;MId=10278&amp;Ver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44D4-95F6-4ED0-88C7-9647022D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Neville, Mike</cp:lastModifiedBy>
  <cp:revision>6</cp:revision>
  <dcterms:created xsi:type="dcterms:W3CDTF">2020-07-08T07:09:00Z</dcterms:created>
  <dcterms:modified xsi:type="dcterms:W3CDTF">2021-05-24T08:30:00Z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LEP - Lancashire Innovation Board</vt:lpwstr>
  </property>
  <property fmtid="{D5CDD505-2E9C-101B-9397-08002B2CF9AE}" pid="3" name="IssueTitle">
    <vt:lpwstr>Membership and Terms of Reference</vt:lpwstr>
  </property>
  <property fmtid="{D5CDD505-2E9C-101B-9397-08002B2CF9AE}" pid="4" name="LeadOfficer">
    <vt:lpwstr>Mike Neville</vt:lpwstr>
  </property>
  <property fmtid="{D5CDD505-2E9C-101B-9397-08002B2CF9AE}" pid="5" name="LeadOfficerEmail">
    <vt:lpwstr>mike.neville@lancashire.gov.uk</vt:lpwstr>
  </property>
  <property fmtid="{D5CDD505-2E9C-101B-9397-08002B2CF9AE}" pid="6" name="LeadOfficerTel">
    <vt:lpwstr>Tel: (01772) 533431</vt:lpwstr>
  </property>
  <property fmtid="{D5CDD505-2E9C-101B-9397-08002B2CF9AE}" pid="7" name="MeetingDate">
    <vt:lpwstr>Monday, 7 June 2021</vt:lpwstr>
  </property>
</Properties>
</file>